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Söderköping kommunfullmäktige</w:t>
      </w:r>
    </w:p>
    <w:p>
      <w:pPr>
        <w:pStyle w:val="Heading1"/>
      </w:pPr>
      <w:r>
        <w:t xml:space="preserve">Fler behöriga lärare och tidig läsinsats i Söderköpings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Söderköping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Söderköpings meritvärde årskurs 9 ligger på 215 poäng (Kolada 2024), under rikssnittet. Brist på behöriga lärare och svaga läsresultat i årskurs 3 kräver tidiga insatser. Liberalerna vill stärka kunskapsskolan.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Söderköping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medel för att anställa minst fem ytterligare legitimerade lärare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strukturerad läsundervisning med tidig kartläggning från årskurs 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 rektorerna i uppdrag att ta fram en treårig kompetensutvecklingsplan för 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budgetuppföljningen 2028.</w:t>
      </w:r>
    </w:p>
    <w:p>
      <w:pPr>
        <w:spacing w:before="360"/>
      </w:pPr>
    </w:p>
    <w:p>
      <w:r>
        <w:t xml:space="preserve">Söderköping,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Söderköping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2026-07-14T05:16:44.492Z</dcterms:created>
  <dcterms:modified xsi:type="dcterms:W3CDTF">2026-07-14T05:16:44.492Z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